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3B9" w:rsidRDefault="009C03B9" w:rsidP="009C03B9"/>
    <w:p w:rsidR="009C03B9" w:rsidRDefault="009C03B9" w:rsidP="009C03B9">
      <w:pPr>
        <w:pStyle w:val="Heading4"/>
        <w:spacing w:line="276" w:lineRule="atLeast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</w:rPr>
        <w:t xml:space="preserve">ANEXA Nr. 1 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CASA NAŢIONALĂ DE PENSII PUBLICE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CASA TERITORIALĂ DE PENSII |_|_|_|_|_|_|_|_|_|_|_|_| </w:t>
      </w:r>
    </w:p>
    <w:p w:rsidR="009C03B9" w:rsidRDefault="009C03B9" w:rsidP="009C03B9">
      <w:pPr>
        <w:spacing w:line="276" w:lineRule="atLeast"/>
        <w:jc w:val="both"/>
        <w:rPr>
          <w:rFonts w:ascii="Arial" w:eastAsia="Times New Roman" w:hAnsi="Arial" w:cs="Arial"/>
          <w:color w:val="333333"/>
          <w:sz w:val="17"/>
          <w:szCs w:val="17"/>
        </w:rPr>
      </w:pPr>
    </w:p>
    <w:p w:rsidR="009C03B9" w:rsidRDefault="009C03B9" w:rsidP="009C03B9">
      <w:pPr>
        <w:spacing w:line="276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br/>
        <w:t xml:space="preserve">CONTRACT DE ASIGURARE </w:t>
      </w:r>
      <w:proofErr w:type="gramStart"/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SOCIALĂ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br/>
        <w:t xml:space="preserve">Nr. |_|_|_|_|_|_| din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ziua</w:t>
      </w:r>
      <w:proofErr w:type="spellEnd"/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|_|_|,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luna</w:t>
      </w:r>
      <w:proofErr w:type="spellEnd"/>
      <w:proofErr w:type="gramEnd"/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|_|_|,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anul</w:t>
      </w:r>
      <w:proofErr w:type="spellEnd"/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|_|_|_|_|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proofErr w:type="spellStart"/>
      <w:r>
        <w:rPr>
          <w:rFonts w:ascii="Arial" w:hAnsi="Arial" w:cs="Arial"/>
          <w:color w:val="333333"/>
          <w:sz w:val="17"/>
          <w:szCs w:val="17"/>
        </w:rPr>
        <w:t>Încheiat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între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Casa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Teritorială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Pensii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denumită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continuare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"Casa",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reprezentată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prin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directorul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executiv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calitate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asigurător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cu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sediul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localitatea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>: |_|_|_|_|_|_|_|_|_|_|_|_|_|_|_|_|_|_|_|,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str.: |_|_|_|_|_|_|_|_|_| nr. |_|_|_|_|,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şi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>: |_|_|_|_|_|_|_|_|_|_|_|_|_|_|_|_|_|_|_|_|_|_|_|_|_|_|_|_|_|_|_|_|,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calitate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>,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posesor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al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codului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numeric personal |_|_|_|_|_|_|_|_|_|_|_|_|_|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actul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identitate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: . . . . . . . . . . </w:t>
      </w: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Seria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|_|_| nr.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|_|_|_|_|_|_|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proofErr w:type="spellStart"/>
      <w:r>
        <w:rPr>
          <w:rFonts w:ascii="Arial" w:hAnsi="Arial" w:cs="Arial"/>
          <w:color w:val="333333"/>
          <w:sz w:val="17"/>
          <w:szCs w:val="17"/>
        </w:rPr>
        <w:t>Adresa</w:t>
      </w:r>
      <w:proofErr w:type="spellEnd"/>
      <w:r>
        <w:rPr>
          <w:rFonts w:ascii="Arial" w:hAnsi="Arial" w:cs="Arial"/>
          <w:color w:val="333333"/>
          <w:sz w:val="17"/>
          <w:szCs w:val="17"/>
        </w:rPr>
        <w:t>: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localitatea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>: |_|_|_|_|_|_|_|_|_|_|_|_|_|_|,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str.: |_|_|_|_|_|_|_|_|_|_|_|_|_|_|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proofErr w:type="gramStart"/>
      <w:r>
        <w:rPr>
          <w:rFonts w:ascii="Arial" w:hAnsi="Arial" w:cs="Arial"/>
          <w:color w:val="333333"/>
          <w:sz w:val="17"/>
          <w:szCs w:val="17"/>
        </w:rPr>
        <w:t>nr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. |_|_|, bl. |_|_|, sc. |_|_|, 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et</w:t>
      </w:r>
      <w:proofErr w:type="gramEnd"/>
      <w:r>
        <w:rPr>
          <w:rFonts w:ascii="Arial" w:hAnsi="Arial" w:cs="Arial"/>
          <w:color w:val="333333"/>
          <w:sz w:val="17"/>
          <w:szCs w:val="17"/>
        </w:rPr>
        <w:t>. |_|_|, ap. |_|_|_|_|,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oficiul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poştal</w:t>
      </w:r>
      <w:proofErr w:type="spellEnd"/>
      <w:r>
        <w:rPr>
          <w:rFonts w:ascii="Arial" w:hAnsi="Arial" w:cs="Arial"/>
          <w:color w:val="333333"/>
          <w:sz w:val="17"/>
          <w:szCs w:val="17"/>
        </w:rPr>
        <w:t>: |_|_|_|_|_|_|_|_|,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judeţul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: |_|_|_|_|_|_|,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sectorul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>: |_|_|,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telefon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>: |_|_|_|_|_|_|_|_|_|_|_|_|_|_|,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adresa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de e-mail: . . . . . . . . . .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1.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Obiectul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contractului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este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asigurarea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sistemul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public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pensii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reglementat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prin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Legea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hyperlink r:id="rId4" w:tgtFrame="_blank" w:history="1">
        <w:r>
          <w:rPr>
            <w:rStyle w:val="Hyperlink"/>
            <w:rFonts w:ascii="Arial" w:hAnsi="Arial" w:cs="Arial"/>
            <w:sz w:val="17"/>
            <w:szCs w:val="17"/>
          </w:rPr>
          <w:t>nr. 263/2010</w:t>
        </w:r>
      </w:hyperlink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privind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sistemul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unitar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pensii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publice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cu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modificările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şi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completările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ulterioare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pentru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obţinerea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pensiei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pentru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limită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vârstă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sau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pentru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completarea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venitului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care </w:t>
      </w: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va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fi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utilizat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la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calculul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acesteia</w:t>
      </w:r>
      <w:proofErr w:type="spellEnd"/>
      <w:r>
        <w:rPr>
          <w:rFonts w:ascii="Arial" w:hAnsi="Arial" w:cs="Arial"/>
          <w:color w:val="333333"/>
          <w:sz w:val="17"/>
          <w:szCs w:val="17"/>
        </w:rPr>
        <w:t>.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2.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Prezentul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contract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intră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vigoare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la data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înregistrării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acestuia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la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Casă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>.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3.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Condiţii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>: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3.1.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Venitul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este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de*): |_|_|_|_| lei (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cifre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>)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*)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Venitul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lunar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nu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poate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fi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mai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mic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decât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valoarea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salariului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bază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minim brut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ţară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garantat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plată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>.</w:t>
      </w:r>
    </w:p>
    <w:p w:rsidR="009C03B9" w:rsidRDefault="009C03B9" w:rsidP="009C03B9">
      <w:pPr>
        <w:spacing w:line="276" w:lineRule="atLeast"/>
        <w:jc w:val="both"/>
        <w:rPr>
          <w:rFonts w:ascii="Arial" w:eastAsia="Times New Roman" w:hAnsi="Arial" w:cs="Arial"/>
          <w:color w:val="339966"/>
          <w:sz w:val="17"/>
          <w:szCs w:val="17"/>
        </w:rPr>
      </w:pPr>
      <w:r>
        <w:rPr>
          <w:rFonts w:ascii="Arial" w:eastAsia="Times New Roman" w:hAnsi="Arial" w:cs="Arial"/>
          <w:color w:val="339966"/>
          <w:sz w:val="17"/>
          <w:szCs w:val="17"/>
        </w:rPr>
        <w:t xml:space="preserve">16/05/2018 - nota a </w:t>
      </w:r>
      <w:proofErr w:type="spellStart"/>
      <w:r>
        <w:rPr>
          <w:rFonts w:ascii="Arial" w:eastAsia="Times New Roman" w:hAnsi="Arial" w:cs="Arial"/>
          <w:color w:val="339966"/>
          <w:sz w:val="17"/>
          <w:szCs w:val="17"/>
        </w:rPr>
        <w:t>fost</w:t>
      </w:r>
      <w:proofErr w:type="spellEnd"/>
      <w:r>
        <w:rPr>
          <w:rFonts w:ascii="Arial" w:eastAsia="Times New Roman" w:hAnsi="Arial" w:cs="Arial"/>
          <w:color w:val="339966"/>
          <w:sz w:val="17"/>
          <w:szCs w:val="17"/>
        </w:rPr>
        <w:t xml:space="preserve"> </w:t>
      </w:r>
      <w:hyperlink r:id="rId5" w:anchor="p-259107274&amp;opt=M&amp;idRel=13028916" w:history="1">
        <w:proofErr w:type="spellStart"/>
        <w:r>
          <w:rPr>
            <w:rStyle w:val="Hyperlink"/>
            <w:rFonts w:ascii="Arial" w:hAnsi="Arial" w:cs="Arial"/>
            <w:sz w:val="17"/>
            <w:szCs w:val="17"/>
          </w:rPr>
          <w:t>modificată</w:t>
        </w:r>
        <w:proofErr w:type="spellEnd"/>
      </w:hyperlink>
      <w:r>
        <w:rPr>
          <w:rFonts w:ascii="Arial" w:eastAsia="Times New Roman" w:hAnsi="Arial" w:cs="Arial"/>
          <w:color w:val="339966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339966"/>
          <w:sz w:val="17"/>
          <w:szCs w:val="17"/>
        </w:rPr>
        <w:t>prin</w:t>
      </w:r>
      <w:proofErr w:type="spellEnd"/>
      <w:r>
        <w:rPr>
          <w:rFonts w:ascii="Arial" w:eastAsia="Times New Roman" w:hAnsi="Arial" w:cs="Arial"/>
          <w:color w:val="339966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339966"/>
          <w:sz w:val="17"/>
          <w:szCs w:val="17"/>
        </w:rPr>
        <w:t>Ordin</w:t>
      </w:r>
      <w:proofErr w:type="spellEnd"/>
      <w:r>
        <w:rPr>
          <w:rFonts w:ascii="Arial" w:eastAsia="Times New Roman" w:hAnsi="Arial" w:cs="Arial"/>
          <w:color w:val="339966"/>
          <w:sz w:val="17"/>
          <w:szCs w:val="17"/>
        </w:rPr>
        <w:t xml:space="preserve"> </w:t>
      </w:r>
      <w:hyperlink r:id="rId6" w:anchor="p-259107274" w:history="1">
        <w:r>
          <w:rPr>
            <w:rStyle w:val="Hyperlink"/>
            <w:rFonts w:ascii="Arial" w:hAnsi="Arial" w:cs="Arial"/>
            <w:sz w:val="17"/>
            <w:szCs w:val="17"/>
          </w:rPr>
          <w:t>1485/2018</w:t>
        </w:r>
      </w:hyperlink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3.2.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Cota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contribuţiei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asigurări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este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de: |_|_|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,|</w:t>
      </w:r>
      <w:proofErr w:type="gramEnd"/>
      <w:r>
        <w:rPr>
          <w:rFonts w:ascii="Arial" w:hAnsi="Arial" w:cs="Arial"/>
          <w:color w:val="333333"/>
          <w:sz w:val="17"/>
          <w:szCs w:val="17"/>
        </w:rPr>
        <w:t>_|_|%.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3.3.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Cuantumul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contribuţiei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asigurări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este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de: |_|_|_|_|_|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3.4.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care se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plăteşte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contribuţia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asigurări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deschis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la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trezorerie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seama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Casei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este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>: |_|_|_|_|_|_|_|_|_|_|_|_|_|_|_|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3.5. Plata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contribuţiei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asigurări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potrivit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prezentului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contract, se face lunar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numerar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către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sau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numele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către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orice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altă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persoană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la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casieria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Casei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sau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prin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orice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alte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mijloace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plată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prevăzute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lege</w:t>
      </w:r>
      <w:proofErr w:type="spellEnd"/>
      <w:r>
        <w:rPr>
          <w:rFonts w:ascii="Arial" w:hAnsi="Arial" w:cs="Arial"/>
          <w:color w:val="333333"/>
          <w:sz w:val="17"/>
          <w:szCs w:val="17"/>
        </w:rPr>
        <w:t>.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3.6.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Termenul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achitare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contribuţiei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este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>: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proofErr w:type="gramStart"/>
      <w:r>
        <w:rPr>
          <w:rFonts w:ascii="Arial" w:hAnsi="Arial" w:cs="Arial"/>
          <w:color w:val="333333"/>
          <w:sz w:val="17"/>
          <w:szCs w:val="17"/>
        </w:rPr>
        <w:t xml:space="preserve">[ ] lunar,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până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la data de 25 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lunii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următoare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celei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pentru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care se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datorează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plata</w:t>
      </w:r>
      <w:proofErr w:type="spellEnd"/>
      <w:r>
        <w:rPr>
          <w:rFonts w:ascii="Arial" w:hAnsi="Arial" w:cs="Arial"/>
          <w:color w:val="333333"/>
          <w:sz w:val="17"/>
          <w:szCs w:val="17"/>
        </w:rPr>
        <w:t>.</w:t>
      </w:r>
      <w:proofErr w:type="gramEnd"/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Plata se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poate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face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şi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anticipat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pentru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|_|_|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luni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(maximum 12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luni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calculate de la data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intrării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vigoare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prezentului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contract).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4.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Obligaţiile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Casei</w:t>
      </w:r>
      <w:proofErr w:type="spellEnd"/>
      <w:r>
        <w:rPr>
          <w:rFonts w:ascii="Arial" w:hAnsi="Arial" w:cs="Arial"/>
          <w:color w:val="333333"/>
          <w:sz w:val="17"/>
          <w:szCs w:val="17"/>
        </w:rPr>
        <w:t>: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4.1.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valorificarea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la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stabilirea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pensiei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pentru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limită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vârstă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stagiului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cotizare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realizat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baza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prezentului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contract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şi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venitului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care 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constituit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baza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calcul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al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contribuţiei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asigurări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conform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prezentului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contract;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4.2. </w:t>
      </w: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certificarea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, la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cererea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stagiului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cotizare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realizat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baza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prezentului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contract;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4.3. </w:t>
      </w: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notificarea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ori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câte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ori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venitul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lunar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este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mai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mic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decât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nivelul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minim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prevăzut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lege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ca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urmare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modificării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prin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act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normativ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nivelului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salariului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bază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minim brut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ţară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garantat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plată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>;</w:t>
      </w:r>
    </w:p>
    <w:p w:rsidR="009C03B9" w:rsidRDefault="009C03B9" w:rsidP="009C03B9">
      <w:pPr>
        <w:spacing w:line="276" w:lineRule="atLeast"/>
        <w:jc w:val="both"/>
        <w:rPr>
          <w:rFonts w:ascii="Arial" w:eastAsia="Times New Roman" w:hAnsi="Arial" w:cs="Arial"/>
          <w:color w:val="339966"/>
          <w:sz w:val="17"/>
          <w:szCs w:val="17"/>
        </w:rPr>
      </w:pPr>
      <w:r>
        <w:rPr>
          <w:rFonts w:ascii="Arial" w:eastAsia="Times New Roman" w:hAnsi="Arial" w:cs="Arial"/>
          <w:color w:val="339966"/>
          <w:sz w:val="17"/>
          <w:szCs w:val="17"/>
        </w:rPr>
        <w:t xml:space="preserve">16/05/2018 - </w:t>
      </w:r>
      <w:proofErr w:type="spellStart"/>
      <w:r>
        <w:rPr>
          <w:rFonts w:ascii="Arial" w:eastAsia="Times New Roman" w:hAnsi="Arial" w:cs="Arial"/>
          <w:color w:val="339966"/>
          <w:sz w:val="17"/>
          <w:szCs w:val="17"/>
        </w:rPr>
        <w:t>subpunctul</w:t>
      </w:r>
      <w:proofErr w:type="spellEnd"/>
      <w:r>
        <w:rPr>
          <w:rFonts w:ascii="Arial" w:eastAsia="Times New Roman" w:hAnsi="Arial" w:cs="Arial"/>
          <w:color w:val="339966"/>
          <w:sz w:val="17"/>
          <w:szCs w:val="17"/>
        </w:rPr>
        <w:t xml:space="preserve"> a </w:t>
      </w:r>
      <w:proofErr w:type="spellStart"/>
      <w:r>
        <w:rPr>
          <w:rFonts w:ascii="Arial" w:eastAsia="Times New Roman" w:hAnsi="Arial" w:cs="Arial"/>
          <w:color w:val="339966"/>
          <w:sz w:val="17"/>
          <w:szCs w:val="17"/>
        </w:rPr>
        <w:t>fost</w:t>
      </w:r>
      <w:proofErr w:type="spellEnd"/>
      <w:r>
        <w:rPr>
          <w:rFonts w:ascii="Arial" w:eastAsia="Times New Roman" w:hAnsi="Arial" w:cs="Arial"/>
          <w:color w:val="339966"/>
          <w:sz w:val="17"/>
          <w:szCs w:val="17"/>
        </w:rPr>
        <w:t xml:space="preserve"> </w:t>
      </w:r>
      <w:hyperlink r:id="rId7" w:anchor="p-259107277&amp;opt=M&amp;idRel=13028917" w:history="1">
        <w:proofErr w:type="spellStart"/>
        <w:r>
          <w:rPr>
            <w:rStyle w:val="Hyperlink"/>
            <w:rFonts w:ascii="Arial" w:hAnsi="Arial" w:cs="Arial"/>
            <w:sz w:val="17"/>
            <w:szCs w:val="17"/>
          </w:rPr>
          <w:t>modificat</w:t>
        </w:r>
        <w:proofErr w:type="spellEnd"/>
      </w:hyperlink>
      <w:r>
        <w:rPr>
          <w:rFonts w:ascii="Arial" w:eastAsia="Times New Roman" w:hAnsi="Arial" w:cs="Arial"/>
          <w:color w:val="339966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339966"/>
          <w:sz w:val="17"/>
          <w:szCs w:val="17"/>
        </w:rPr>
        <w:t>prin</w:t>
      </w:r>
      <w:proofErr w:type="spellEnd"/>
      <w:r>
        <w:rPr>
          <w:rFonts w:ascii="Arial" w:eastAsia="Times New Roman" w:hAnsi="Arial" w:cs="Arial"/>
          <w:color w:val="339966"/>
          <w:sz w:val="17"/>
          <w:szCs w:val="17"/>
        </w:rPr>
        <w:t xml:space="preserve"> </w:t>
      </w:r>
      <w:proofErr w:type="spellStart"/>
      <w:r>
        <w:rPr>
          <w:rFonts w:ascii="Arial" w:eastAsia="Times New Roman" w:hAnsi="Arial" w:cs="Arial"/>
          <w:color w:val="339966"/>
          <w:sz w:val="17"/>
          <w:szCs w:val="17"/>
        </w:rPr>
        <w:t>Ordin</w:t>
      </w:r>
      <w:proofErr w:type="spellEnd"/>
      <w:r>
        <w:rPr>
          <w:rFonts w:ascii="Arial" w:eastAsia="Times New Roman" w:hAnsi="Arial" w:cs="Arial"/>
          <w:color w:val="339966"/>
          <w:sz w:val="17"/>
          <w:szCs w:val="17"/>
        </w:rPr>
        <w:t xml:space="preserve"> </w:t>
      </w:r>
      <w:hyperlink r:id="rId8" w:anchor="p-259107277" w:history="1">
        <w:r>
          <w:rPr>
            <w:rStyle w:val="Hyperlink"/>
            <w:rFonts w:ascii="Arial" w:hAnsi="Arial" w:cs="Arial"/>
            <w:sz w:val="17"/>
            <w:szCs w:val="17"/>
          </w:rPr>
          <w:t>1485/2018</w:t>
        </w:r>
      </w:hyperlink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lastRenderedPageBreak/>
        <w:t xml:space="preserve">4.4. </w:t>
      </w: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cazul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neplăţii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contribuţiei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asigurări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la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termenul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prevăzut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contract, Casa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calculează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dobânzi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şi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penalităţi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întârziere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conformitate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cu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prevederile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legale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vigoare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>;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4.5. [</w:t>
      </w: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acordarea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ajutorului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deces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prevăzut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la </w:t>
      </w:r>
      <w:hyperlink r:id="rId9" w:anchor="p-45181691" w:tgtFrame="_blank" w:history="1">
        <w:r>
          <w:rPr>
            <w:rStyle w:val="Hyperlink"/>
            <w:rFonts w:ascii="Arial" w:hAnsi="Arial" w:cs="Arial"/>
            <w:sz w:val="17"/>
            <w:szCs w:val="17"/>
          </w:rPr>
          <w:t>art. 125</w:t>
        </w:r>
      </w:hyperlink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şi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hyperlink r:id="rId10" w:anchor="p-45181695" w:tgtFrame="_blank" w:history="1">
        <w:r>
          <w:rPr>
            <w:rStyle w:val="Hyperlink"/>
            <w:rFonts w:ascii="Arial" w:hAnsi="Arial" w:cs="Arial"/>
            <w:sz w:val="17"/>
            <w:szCs w:val="17"/>
          </w:rPr>
          <w:t>126</w:t>
        </w:r>
      </w:hyperlink>
      <w:r>
        <w:rPr>
          <w:rFonts w:ascii="Arial" w:hAnsi="Arial" w:cs="Arial"/>
          <w:color w:val="333333"/>
          <w:sz w:val="17"/>
          <w:szCs w:val="17"/>
        </w:rPr>
        <w:t xml:space="preserve"> din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Legea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nr. 263/2010, cu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modificările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şi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completările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ulterioare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>.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5.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Obligaţiile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>: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5.1. </w:t>
      </w: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achitarea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contribuţiei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asigurări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cuantumul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şi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la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termenul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stabilit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la </w:t>
      </w:r>
      <w:hyperlink r:id="rId11" w:anchor="p-251700401" w:tgtFrame="_blank" w:history="1">
        <w:r>
          <w:rPr>
            <w:rStyle w:val="Hyperlink"/>
            <w:rFonts w:ascii="Arial" w:hAnsi="Arial" w:cs="Arial"/>
            <w:sz w:val="17"/>
            <w:szCs w:val="17"/>
          </w:rPr>
          <w:t>pct. 3.6</w:t>
        </w:r>
      </w:hyperlink>
      <w:r>
        <w:rPr>
          <w:rFonts w:ascii="Arial" w:hAnsi="Arial" w:cs="Arial"/>
          <w:color w:val="333333"/>
          <w:sz w:val="17"/>
          <w:szCs w:val="17"/>
        </w:rPr>
        <w:t xml:space="preserve"> din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prezentul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contract;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5.2. </w:t>
      </w: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achitarea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dobânzi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şi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penalităţi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întârziere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pentru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neplata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contribuţiei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asigurări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la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termenul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prevăzut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contract;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5.3. </w:t>
      </w: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înştiinţarea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Casei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asupra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modificărilor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survenite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termenii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prezentului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contract;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5.4. </w:t>
      </w: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să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se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prezinte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la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sediul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Casei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atunci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când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este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solicitat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respectând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termenul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stabilit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aceasta</w:t>
      </w:r>
      <w:proofErr w:type="spellEnd"/>
      <w:r>
        <w:rPr>
          <w:rFonts w:ascii="Arial" w:hAnsi="Arial" w:cs="Arial"/>
          <w:color w:val="333333"/>
          <w:sz w:val="17"/>
          <w:szCs w:val="17"/>
        </w:rPr>
        <w:t>.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6.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Clauze</w:t>
      </w:r>
      <w:proofErr w:type="spellEnd"/>
      <w:r>
        <w:rPr>
          <w:rFonts w:ascii="Arial" w:hAnsi="Arial" w:cs="Arial"/>
          <w:color w:val="333333"/>
          <w:sz w:val="17"/>
          <w:szCs w:val="17"/>
        </w:rPr>
        <w:t>: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6.1.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Stagiul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cotizare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se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constituie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din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însumarea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lunilor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pentru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care s-a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achitat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contribuţia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asigurări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precum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şi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dobânzile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şi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penalităţile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întârziere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dacă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este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cazul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>.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6.2.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situaţia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rezilierii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contractului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contribuţia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asigurări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achitată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nu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se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restituie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;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stagiul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cotizare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realizat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până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la data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rezilierii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contractului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se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valorifică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la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stabilirea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dreptului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la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pensie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pentru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limită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vârstă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>.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6.3.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Calitatea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se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redobândeşte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după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încheierea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unui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nou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contract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>.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6.4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Contractul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se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poate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rezilia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oricând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din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iniţiativa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>.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6.5.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Contractul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se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reziliază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din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iniţiativa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casei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teritoriale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pensii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cazul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neplăţii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contribuţiei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asigurări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pentru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o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perioadă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6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luni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consecutive. </w:t>
      </w: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acest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caz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rezilierea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se face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începând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cu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ziua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următoare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celei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până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la care s-a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plătit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contribuţia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asigurări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împreună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cu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dobânzile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şi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penalităţile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întârziere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aferente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>.</w:t>
      </w:r>
      <w:proofErr w:type="gramEnd"/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6.6.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caz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forţă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majoră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părţile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contractante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sunt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exonerate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răspundere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pentru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neexecutarea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sau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executarea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necorespunzătoare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ori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cu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întârziere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a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obligaţiilor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asumate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prin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prezentul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contract.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Cazul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forţă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majoră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se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dovedeşte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partea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care o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invocă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>.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6.7.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Modificarea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oricăror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prevederi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din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prezentul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contract, cu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excepţia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situaţiei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la </w:t>
      </w:r>
      <w:hyperlink r:id="rId12" w:anchor="p-251700407" w:tgtFrame="_blank" w:history="1">
        <w:r>
          <w:rPr>
            <w:rStyle w:val="Hyperlink"/>
            <w:rFonts w:ascii="Arial" w:hAnsi="Arial" w:cs="Arial"/>
            <w:sz w:val="17"/>
            <w:szCs w:val="17"/>
          </w:rPr>
          <w:t>pct. 4.3</w:t>
        </w:r>
      </w:hyperlink>
      <w:r>
        <w:rPr>
          <w:rFonts w:ascii="Arial" w:hAnsi="Arial" w:cs="Arial"/>
          <w:color w:val="333333"/>
          <w:sz w:val="17"/>
          <w:szCs w:val="17"/>
        </w:rPr>
        <w:t xml:space="preserve">, se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poate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face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numai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cu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acordul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scris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al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ambelor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părţi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prin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act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adiţional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.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Când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una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dintre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părţi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nu </w:t>
      </w: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este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acord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cu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modificarea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solicitată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cealaltă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parte,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contractul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se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derulează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condiţiile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anterioare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cu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excepţia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situaţiei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care se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solicită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rezilierea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>.</w:t>
      </w:r>
    </w:p>
    <w:p w:rsidR="009C03B9" w:rsidRDefault="009C03B9" w:rsidP="009C03B9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7.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Litigiile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legătură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cu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executarea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prezentului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contract,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nesoluţionate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între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părţi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amiabilă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sunt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competenţa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secţiilor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asigurări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completurilor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specializate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pentru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asigurări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la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nivelul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tribunalelor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şi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curţilor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apel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sau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după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caz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se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soluţionează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instanţele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competente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potrivit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legii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>.</w:t>
      </w:r>
    </w:p>
    <w:p w:rsidR="009C03B9" w:rsidRDefault="009C03B9" w:rsidP="009C03B9">
      <w:pPr>
        <w:spacing w:line="276" w:lineRule="atLeast"/>
        <w:jc w:val="both"/>
        <w:rPr>
          <w:rFonts w:ascii="Arial" w:eastAsia="Times New Roman" w:hAnsi="Arial" w:cs="Arial"/>
          <w:color w:val="333333"/>
          <w:sz w:val="17"/>
          <w:szCs w:val="17"/>
        </w:rPr>
      </w:pPr>
    </w:p>
    <w:p w:rsidR="009C03B9" w:rsidRDefault="009C03B9" w:rsidP="009C03B9">
      <w:pPr>
        <w:spacing w:line="276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br/>
      </w:r>
    </w:p>
    <w:tbl>
      <w:tblPr>
        <w:tblW w:w="33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"/>
        <w:gridCol w:w="1571"/>
        <w:gridCol w:w="1722"/>
      </w:tblGrid>
      <w:tr w:rsidR="009C03B9" w:rsidTr="00347807">
        <w:trPr>
          <w:trHeight w:val="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03B9" w:rsidRDefault="009C03B9" w:rsidP="0034780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"/>
                <w:szCs w:val="17"/>
              </w:rPr>
            </w:pPr>
          </w:p>
        </w:tc>
        <w:tc>
          <w:tcPr>
            <w:tcW w:w="0" w:type="auto"/>
            <w:hideMark/>
          </w:tcPr>
          <w:p w:rsidR="009C03B9" w:rsidRDefault="009C03B9" w:rsidP="0034780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"/>
                <w:szCs w:val="17"/>
              </w:rPr>
            </w:pPr>
          </w:p>
        </w:tc>
        <w:tc>
          <w:tcPr>
            <w:tcW w:w="0" w:type="auto"/>
            <w:hideMark/>
          </w:tcPr>
          <w:p w:rsidR="009C03B9" w:rsidRDefault="009C03B9" w:rsidP="0034780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"/>
                <w:szCs w:val="17"/>
              </w:rPr>
            </w:pPr>
          </w:p>
        </w:tc>
      </w:tr>
      <w:tr w:rsidR="009C03B9" w:rsidTr="00347807">
        <w:trPr>
          <w:trHeight w:val="45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03B9" w:rsidRDefault="009C03B9" w:rsidP="0034780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9C03B9" w:rsidRDefault="009C03B9" w:rsidP="00347807">
            <w:pPr>
              <w:spacing w:line="276" w:lineRule="atLeast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asiguratului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,</w:t>
            </w: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. . . . . . . . . .</w:t>
            </w:r>
          </w:p>
        </w:tc>
        <w:tc>
          <w:tcPr>
            <w:tcW w:w="0" w:type="auto"/>
            <w:hideMark/>
          </w:tcPr>
          <w:p w:rsidR="009C03B9" w:rsidRDefault="009C03B9" w:rsidP="00347807">
            <w:pPr>
              <w:spacing w:line="276" w:lineRule="atLeast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asigurătorului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,</w:t>
            </w: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. . . . . . . . . .</w:t>
            </w:r>
          </w:p>
        </w:tc>
      </w:tr>
    </w:tbl>
    <w:p w:rsidR="009A551F" w:rsidRDefault="009A551F"/>
    <w:sectPr w:rsidR="009A551F" w:rsidSect="009C03B9">
      <w:pgSz w:w="12240" w:h="15840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03B9"/>
    <w:rsid w:val="009A551F"/>
    <w:rsid w:val="009C0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B9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3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9C03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9C03B9"/>
    <w:rPr>
      <w:color w:val="0000FF"/>
      <w:u w:val="single"/>
    </w:rPr>
  </w:style>
  <w:style w:type="paragraph" w:customStyle="1" w:styleId="al">
    <w:name w:val="a_l"/>
    <w:basedOn w:val="Normal"/>
    <w:rsid w:val="009C03B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i4dcmzzhezq/act?pid=259107277&amp;d=16-05-201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i4dcmzzhezq/act?pid=259107277&amp;d=16-05-2018" TargetMode="External"/><Relationship Id="rId12" Type="http://schemas.openxmlformats.org/officeDocument/2006/relationships/hyperlink" Target="http://lege5.ro/App/Document/gi3donbwgy3q/ordinul-nr-489-2018-pentru-aprobarea-modelului-contractului-de-asigurare-sociala-si-al-actului-aditional-la-acesta-utilizate-in-sistemul-public-de-pensii?pid=251700407&amp;d=2023-05-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i4dcmzzhezq/act?pid=259107274&amp;d=16-05-2018" TargetMode="External"/><Relationship Id="rId11" Type="http://schemas.openxmlformats.org/officeDocument/2006/relationships/hyperlink" Target="http://lege5.ro/App/Document/gi3donbwgy3q/ordinul-nr-489-2018-pentru-aprobarea-modelului-contractului-de-asigurare-sociala-si-al-actului-aditional-la-acesta-utilizate-in-sistemul-public-de-pensii?pid=251700401&amp;d=2023-05-11" TargetMode="External"/><Relationship Id="rId5" Type="http://schemas.openxmlformats.org/officeDocument/2006/relationships/hyperlink" Target="gi4dcmzzhezq/act?pid=259107274&amp;d=16-05-2018" TargetMode="External"/><Relationship Id="rId10" Type="http://schemas.openxmlformats.org/officeDocument/2006/relationships/hyperlink" Target="http://lege5.ro/App/Document/geztsmrxgu/legea-nr-263-2010-privind-sistemul-unitar-de-pensii-publice?pid=45181695&amp;d=2023-05-11" TargetMode="External"/><Relationship Id="rId4" Type="http://schemas.openxmlformats.org/officeDocument/2006/relationships/hyperlink" Target="http://lege5.ro/App/Document/geztsmrxgu/legea-nr-263-2010-privind-sistemul-unitar-de-pensii-publice?d=2023-05-11" TargetMode="External"/><Relationship Id="rId9" Type="http://schemas.openxmlformats.org/officeDocument/2006/relationships/hyperlink" Target="http://lege5.ro/App/Document/geztsmrxgu/legea-nr-263-2010-privind-sistemul-unitar-de-pensii-publice?pid=45181691&amp;d=2023-05-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1099</Words>
  <Characters>6268</Characters>
  <Application>Microsoft Office Word</Application>
  <DocSecurity>0</DocSecurity>
  <Lines>52</Lines>
  <Paragraphs>14</Paragraphs>
  <ScaleCrop>false</ScaleCrop>
  <Company/>
  <LinksUpToDate>false</LinksUpToDate>
  <CharactersWithSpaces>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2</cp:revision>
  <dcterms:created xsi:type="dcterms:W3CDTF">2023-06-09T09:43:00Z</dcterms:created>
  <dcterms:modified xsi:type="dcterms:W3CDTF">2023-06-09T09:45:00Z</dcterms:modified>
</cp:coreProperties>
</file>